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11AB393" w:rsidR="00F92268" w:rsidRPr="00FF66BF" w:rsidRDefault="00D71979" w:rsidP="00F246C7">
            <w:pPr>
              <w:pStyle w:val="RefTableHeader"/>
            </w:pPr>
            <w:r>
              <w:t>6174-A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CB7E43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117E2207" w:rsidR="004B15BB" w:rsidRPr="00BD1CC1" w:rsidRDefault="00BA302E" w:rsidP="007E5C16">
      <w:pPr>
        <w:pStyle w:val="Heading1"/>
      </w:pPr>
      <w:r>
        <w:t>Specialty Guideline Management</w:t>
      </w:r>
      <w:r>
        <w:br/>
      </w:r>
      <w:proofErr w:type="spellStart"/>
      <w:r w:rsidR="002AF993">
        <w:t>Ojjaara</w:t>
      </w:r>
      <w:proofErr w:type="spellEnd"/>
    </w:p>
    <w:p w14:paraId="78861C92" w14:textId="66036B49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41920F20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3C076B">
        <w:t>Over</w:t>
      </w:r>
      <w:r w:rsidR="00EA41A8">
        <w:t>-</w:t>
      </w:r>
      <w:r w:rsidR="003C076B">
        <w:t>the</w:t>
      </w:r>
      <w:r w:rsidR="00EA41A8">
        <w:t>-</w:t>
      </w:r>
      <w:r w:rsidR="003C076B">
        <w:t>counter (</w:t>
      </w:r>
      <w:r w:rsidRPr="00BD1CC1">
        <w:t>OTC</w:t>
      </w:r>
      <w:r w:rsidR="003C076B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EA41A8">
        <w:trPr>
          <w:cantSplit/>
          <w:trHeight w:val="288"/>
          <w:tblHeader/>
        </w:trPr>
        <w:tc>
          <w:tcPr>
            <w:tcW w:w="5265" w:type="dxa"/>
          </w:tcPr>
          <w:p w14:paraId="2A27354A" w14:textId="1390179E" w:rsidR="00252CE1" w:rsidRPr="00BD1CC1" w:rsidRDefault="00252CE1" w:rsidP="00EA41A8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</w:tcPr>
          <w:p w14:paraId="3D342BE1" w14:textId="75F11EF1" w:rsidR="00252CE1" w:rsidRPr="00BD1CC1" w:rsidRDefault="00252CE1" w:rsidP="00EA41A8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2AD5C02D" w14:textId="77777777" w:rsidTr="00EA41A8">
        <w:trPr>
          <w:cantSplit/>
        </w:trPr>
        <w:tc>
          <w:tcPr>
            <w:tcW w:w="5265" w:type="dxa"/>
          </w:tcPr>
          <w:p w14:paraId="2D8FA8E3" w14:textId="605C35C3" w:rsidR="00585FFF" w:rsidRPr="00BD1CC1" w:rsidRDefault="00BA302E" w:rsidP="00EA41A8">
            <w:pPr>
              <w:pStyle w:val="TableData"/>
              <w:spacing w:after="0"/>
            </w:pPr>
            <w:proofErr w:type="spellStart"/>
            <w:r w:rsidRPr="00BA302E">
              <w:t>Ojjaara</w:t>
            </w:r>
            <w:proofErr w:type="spellEnd"/>
          </w:p>
        </w:tc>
        <w:tc>
          <w:tcPr>
            <w:tcW w:w="5595" w:type="dxa"/>
          </w:tcPr>
          <w:p w14:paraId="7E26A004" w14:textId="74893161" w:rsidR="00585FFF" w:rsidRPr="00BD1CC1" w:rsidRDefault="00BA302E" w:rsidP="00EA41A8">
            <w:pPr>
              <w:pStyle w:val="TableData"/>
              <w:spacing w:after="0"/>
            </w:pPr>
            <w:proofErr w:type="spellStart"/>
            <w:r w:rsidRPr="00BA302E">
              <w:t>momelotinib</w:t>
            </w:r>
            <w:proofErr w:type="spellEnd"/>
          </w:p>
        </w:tc>
      </w:tr>
    </w:tbl>
    <w:bookmarkEnd w:id="0"/>
    <w:p w14:paraId="14CE6108" w14:textId="2C37C323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2EF88064" w14:textId="156D8F77" w:rsidR="00BA302E" w:rsidRDefault="00BA302E" w:rsidP="00BA302E">
      <w:pPr>
        <w:pStyle w:val="BodyText"/>
      </w:pPr>
      <w:r w:rsidRPr="00BA302E">
        <w:t>The indications below including FDA-approved indication and compendial uses are considered a covered benefit provided that all the approval criteria are met and the member has no exclusions to the prescribed therapy.</w:t>
      </w:r>
    </w:p>
    <w:p w14:paraId="134B5687" w14:textId="7245D39A" w:rsidR="00ED052F" w:rsidRDefault="00ED052F" w:rsidP="00ED052F">
      <w:pPr>
        <w:pStyle w:val="Heading3"/>
        <w:keepNext w:val="0"/>
      </w:pPr>
      <w:r w:rsidRPr="00BD1CC1">
        <w:t>FDA-</w:t>
      </w:r>
      <w:r w:rsidR="00EA59FA">
        <w:t>A</w:t>
      </w:r>
      <w:r w:rsidRPr="00BD1CC1">
        <w:t>pproved Indications</w:t>
      </w:r>
      <w:r w:rsidR="00BA619E" w:rsidRPr="00BA619E">
        <w:rPr>
          <w:vertAlign w:val="superscript"/>
        </w:rPr>
        <w:t>1</w:t>
      </w:r>
    </w:p>
    <w:p w14:paraId="07938989" w14:textId="6E82DA14" w:rsidR="00BA302E" w:rsidRDefault="00BA302E" w:rsidP="00BA302E">
      <w:pPr>
        <w:pStyle w:val="BodyText"/>
      </w:pPr>
      <w:proofErr w:type="spellStart"/>
      <w:r w:rsidRPr="00BA302E">
        <w:t>Ojjaara</w:t>
      </w:r>
      <w:proofErr w:type="spellEnd"/>
      <w:r w:rsidRPr="00BA302E">
        <w:t xml:space="preserve"> is indicated for the treatment of intermediate or high-risk myelofibrosis (MF), including primary MF or secondary MF [post-polycythemia vera (PV) and post-essential thrombocythemia (ET)], in adults with anemia.</w:t>
      </w:r>
    </w:p>
    <w:p w14:paraId="0B5EC236" w14:textId="53F2D615" w:rsidR="0044763A" w:rsidRDefault="009F2EF1" w:rsidP="0044763A">
      <w:pPr>
        <w:pStyle w:val="Heading3"/>
      </w:pPr>
      <w:r>
        <w:t>Compendial Uses</w:t>
      </w:r>
      <w:r w:rsidR="0084308D" w:rsidRPr="0084308D">
        <w:rPr>
          <w:vertAlign w:val="superscript"/>
        </w:rPr>
        <w:t>2</w:t>
      </w:r>
    </w:p>
    <w:p w14:paraId="3AD540E1" w14:textId="7BD3BC7E" w:rsidR="00BA302E" w:rsidRPr="00BA302E" w:rsidRDefault="00BA302E" w:rsidP="00BA302E">
      <w:pPr>
        <w:pStyle w:val="ListParagraph"/>
        <w:numPr>
          <w:ilvl w:val="0"/>
          <w:numId w:val="26"/>
        </w:numPr>
      </w:pPr>
      <w:r w:rsidRPr="00BA302E">
        <w:t>Symptomatic high-risk MF</w:t>
      </w:r>
    </w:p>
    <w:p w14:paraId="2226B987" w14:textId="004112D9" w:rsidR="00BA302E" w:rsidRPr="00BA302E" w:rsidRDefault="00BA302E" w:rsidP="00BA302E">
      <w:pPr>
        <w:pStyle w:val="ListParagraph"/>
        <w:numPr>
          <w:ilvl w:val="0"/>
          <w:numId w:val="26"/>
        </w:numPr>
      </w:pPr>
      <w:r w:rsidRPr="00BA302E">
        <w:t>MF-associated anemia</w:t>
      </w:r>
    </w:p>
    <w:p w14:paraId="42A835F4" w14:textId="485403B7" w:rsidR="00BA302E" w:rsidRPr="00BA302E" w:rsidRDefault="00BA302E" w:rsidP="00EA59FA">
      <w:pPr>
        <w:pStyle w:val="ListParagraph"/>
        <w:numPr>
          <w:ilvl w:val="0"/>
          <w:numId w:val="26"/>
        </w:numPr>
        <w:spacing w:after="120"/>
      </w:pPr>
      <w:r w:rsidRPr="00BA302E">
        <w:t>Accelerated phase or blast phase myeloproliferative neoplasms</w:t>
      </w:r>
    </w:p>
    <w:p w14:paraId="5F4E2C34" w14:textId="5EF66267" w:rsidR="00BA302E" w:rsidRDefault="00BA302E" w:rsidP="00BA302E">
      <w:pPr>
        <w:pStyle w:val="BodyText"/>
      </w:pPr>
      <w:r>
        <w:t>All other indications are considered experimental/investigational and not medically necessary.</w:t>
      </w:r>
    </w:p>
    <w:p w14:paraId="0FA3C28C" w14:textId="7F803DDE" w:rsidR="00C40AD3" w:rsidRDefault="2AB09DBA" w:rsidP="00EA59FA">
      <w:pPr>
        <w:pStyle w:val="Heading2"/>
        <w:spacing w:before="320"/>
      </w:pPr>
      <w:r w:rsidRPr="16D3F322">
        <w:rPr>
          <w:rFonts w:eastAsia="CVS Health Sans" w:cs="CVS Health Sans"/>
          <w:color w:val="000000" w:themeColor="text1"/>
          <w:szCs w:val="40"/>
        </w:rPr>
        <w:lastRenderedPageBreak/>
        <w:t>Coverage Criteria</w:t>
      </w:r>
    </w:p>
    <w:p w14:paraId="04E7B232" w14:textId="77777777" w:rsidR="00BA302E" w:rsidRDefault="00BA302E" w:rsidP="00BA302E">
      <w:pPr>
        <w:pStyle w:val="Heading3"/>
      </w:pPr>
      <w:r>
        <w:t>Myelofibrosis, Myelofibrosis-associated anemia, or Myeloproliferative neoplasms</w:t>
      </w:r>
      <w:r w:rsidRPr="00BA302E">
        <w:rPr>
          <w:vertAlign w:val="superscript"/>
        </w:rPr>
        <w:t>1,2</w:t>
      </w:r>
    </w:p>
    <w:p w14:paraId="47ABD007" w14:textId="77777777" w:rsidR="00BA302E" w:rsidRDefault="00BA302E" w:rsidP="00BA302E">
      <w:pPr>
        <w:pStyle w:val="BodyText"/>
      </w:pPr>
      <w:r>
        <w:t>Authorization of 12 months may be granted for treatment myelofibrosis, myelofibrosis-associated anemia, or myeloproliferative neoplasms when any of the following criteria are met:</w:t>
      </w:r>
    </w:p>
    <w:p w14:paraId="2558684C" w14:textId="0860D6D1" w:rsidR="00BA302E" w:rsidRPr="00BA302E" w:rsidRDefault="00BA302E" w:rsidP="00BA302E">
      <w:pPr>
        <w:pStyle w:val="ListParagraph"/>
        <w:numPr>
          <w:ilvl w:val="0"/>
          <w:numId w:val="28"/>
        </w:numPr>
      </w:pPr>
      <w:r w:rsidRPr="00BA302E">
        <w:t>Member has intermediate-risk MF with anemia</w:t>
      </w:r>
    </w:p>
    <w:p w14:paraId="4BA5F796" w14:textId="671D5153" w:rsidR="00BA302E" w:rsidRPr="00BA302E" w:rsidRDefault="00BA302E" w:rsidP="00BA302E">
      <w:pPr>
        <w:pStyle w:val="ListParagraph"/>
        <w:numPr>
          <w:ilvl w:val="0"/>
          <w:numId w:val="28"/>
        </w:numPr>
      </w:pPr>
      <w:r w:rsidRPr="00BA302E">
        <w:t>Member has high-risk MF with anemia or symptomatic splenomegaly and/or constitutional symptoms (e.g., fatigue, night sweats, fever, weight loss)</w:t>
      </w:r>
    </w:p>
    <w:p w14:paraId="39181660" w14:textId="5A70154B" w:rsidR="00BA302E" w:rsidRPr="00BA302E" w:rsidRDefault="00BA302E" w:rsidP="00BA302E">
      <w:pPr>
        <w:pStyle w:val="ListParagraph"/>
        <w:numPr>
          <w:ilvl w:val="0"/>
          <w:numId w:val="28"/>
        </w:numPr>
      </w:pPr>
      <w:r w:rsidRPr="00BA302E">
        <w:t>Member has MF-associated anemia with symptomatic splenomegaly and/or constitutional symptoms (e.g., fatigue, night sweats, fever, weight loss)</w:t>
      </w:r>
    </w:p>
    <w:p w14:paraId="26CEECB5" w14:textId="303D38D6" w:rsidR="00BA302E" w:rsidRPr="00BA302E" w:rsidRDefault="00BA302E" w:rsidP="00BA302E">
      <w:pPr>
        <w:pStyle w:val="ListParagraph"/>
        <w:numPr>
          <w:ilvl w:val="0"/>
          <w:numId w:val="28"/>
        </w:numPr>
      </w:pPr>
      <w:r w:rsidRPr="00BA302E">
        <w:t xml:space="preserve">Member has </w:t>
      </w:r>
      <w:r w:rsidR="00A57310">
        <w:t xml:space="preserve">symptomatic </w:t>
      </w:r>
      <w:r w:rsidRPr="00BA302E">
        <w:t>accelerated phase or blast phase myeloproliferative neoplasms and the requested agent will be used as a single agent or in combination with azacitidine or decitabine</w:t>
      </w:r>
    </w:p>
    <w:p w14:paraId="3A643EC3" w14:textId="2E063E97" w:rsidR="00A501AC" w:rsidRDefault="00A501AC" w:rsidP="0026146F">
      <w:pPr>
        <w:pStyle w:val="Heading2"/>
        <w:spacing w:before="460"/>
      </w:pPr>
      <w:r w:rsidRPr="00BD1CC1">
        <w:t>Continuation of Therapy</w:t>
      </w:r>
    </w:p>
    <w:p w14:paraId="40BBDC8E" w14:textId="409BE499" w:rsidR="00BA302E" w:rsidRDefault="00BA302E" w:rsidP="00BA302E">
      <w:pPr>
        <w:pStyle w:val="BodyText"/>
      </w:pPr>
      <w:r w:rsidRPr="00BA302E">
        <w:t xml:space="preserve">Authorization of 12 months may be granted for continued treatment in members requesting reauthorization for an indication listed in </w:t>
      </w:r>
      <w:r w:rsidR="007A1404" w:rsidRPr="007A1404">
        <w:t>the coverage criteria section</w:t>
      </w:r>
      <w:r w:rsidRPr="00BA302E">
        <w:t xml:space="preserve"> who have improvement in symptoms and no unacceptable toxicity.</w:t>
      </w:r>
    </w:p>
    <w:p w14:paraId="10DA4309" w14:textId="379D8ED5" w:rsidR="00FF66BF" w:rsidRPr="008D1B34" w:rsidRDefault="00FF66BF" w:rsidP="0026146F">
      <w:pPr>
        <w:pStyle w:val="Heading2"/>
        <w:spacing w:before="460"/>
      </w:pPr>
      <w:r w:rsidRPr="008D1B34">
        <w:t>References</w:t>
      </w:r>
    </w:p>
    <w:p w14:paraId="11AFCDA7" w14:textId="77777777" w:rsidR="00BA302E" w:rsidRDefault="00BA302E" w:rsidP="003F5533">
      <w:pPr>
        <w:pStyle w:val="ReferenceOrdered"/>
        <w:numPr>
          <w:ilvl w:val="0"/>
          <w:numId w:val="2"/>
        </w:numPr>
        <w:ind w:left="360"/>
      </w:pPr>
      <w:proofErr w:type="spellStart"/>
      <w:r>
        <w:t>Ojjaara</w:t>
      </w:r>
      <w:proofErr w:type="spellEnd"/>
      <w:r>
        <w:t xml:space="preserve"> [package insert]. Durham, NC: GlaxoSmithKline; September 2023.</w:t>
      </w:r>
    </w:p>
    <w:p w14:paraId="1CF11658" w14:textId="495B6C84" w:rsidR="00FF66BF" w:rsidRDefault="00BA302E" w:rsidP="003F5533">
      <w:pPr>
        <w:pStyle w:val="ReferenceOrdered"/>
        <w:numPr>
          <w:ilvl w:val="0"/>
          <w:numId w:val="2"/>
        </w:numPr>
        <w:ind w:left="360"/>
      </w:pPr>
      <w:r>
        <w:t xml:space="preserve">The NCCN Drugs &amp; Biologics Compendium® </w:t>
      </w:r>
      <w:r w:rsidR="006C3859">
        <w:t xml:space="preserve">2025 </w:t>
      </w:r>
      <w:r>
        <w:t xml:space="preserve">National Comprehensive Cancer Network, Inc. </w:t>
      </w:r>
      <w:r w:rsidRPr="003F5533">
        <w:t>http://www.nccn.org.</w:t>
      </w:r>
      <w:r>
        <w:t xml:space="preserve"> Accessed January </w:t>
      </w:r>
      <w:r w:rsidR="006C3859">
        <w:t>7</w:t>
      </w:r>
      <w:r>
        <w:t xml:space="preserve">, </w:t>
      </w:r>
      <w:r w:rsidR="006C3859">
        <w:t>2025</w:t>
      </w:r>
      <w:r>
        <w:t>.</w:t>
      </w:r>
    </w:p>
    <w:sectPr w:rsidR="00FF66BF" w:rsidSect="00572110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8A8D2" w14:textId="77777777" w:rsidR="003143A2" w:rsidRDefault="003143A2">
      <w:r>
        <w:separator/>
      </w:r>
    </w:p>
  </w:endnote>
  <w:endnote w:type="continuationSeparator" w:id="0">
    <w:p w14:paraId="474EDE36" w14:textId="77777777" w:rsidR="003143A2" w:rsidRDefault="003143A2">
      <w:r>
        <w:continuationSeparator/>
      </w:r>
    </w:p>
  </w:endnote>
  <w:endnote w:type="continuationNotice" w:id="1">
    <w:p w14:paraId="67C5047E" w14:textId="77777777" w:rsidR="003143A2" w:rsidRDefault="003143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0A1730C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26146F">
      <w:rPr>
        <w:rFonts w:cs="Arial"/>
        <w:noProof/>
        <w:snapToGrid w:val="0"/>
        <w:color w:val="000000"/>
        <w:sz w:val="16"/>
        <w:szCs w:val="16"/>
        <w:lang w:val="pt-P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F5170" w:rsidRPr="006F5170">
      <w:rPr>
        <w:rFonts w:cs="Arial"/>
        <w:noProof/>
        <w:sz w:val="16"/>
        <w:szCs w:val="16"/>
        <w:lang w:val="pt-PT"/>
      </w:rPr>
      <w:t>Ojjaara</w:t>
    </w:r>
    <w:r w:rsidR="006F5170">
      <w:rPr>
        <w:rFonts w:cs="Arial"/>
        <w:noProof/>
        <w:snapToGrid w:val="0"/>
        <w:color w:val="000000"/>
        <w:sz w:val="16"/>
        <w:szCs w:val="16"/>
        <w:lang w:val="pt-PT"/>
      </w:rPr>
      <w:t xml:space="preserve"> SGM 6174-A</w:t>
    </w:r>
    <w:r w:rsidR="006F5170" w:rsidRPr="006F5170">
      <w:rPr>
        <w:rFonts w:cs="Arial"/>
        <w:noProof/>
        <w:sz w:val="16"/>
        <w:szCs w:val="16"/>
        <w:lang w:val="pt-P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26146F">
      <w:rPr>
        <w:rFonts w:cs="Arial"/>
        <w:snapToGrid w:val="0"/>
        <w:color w:val="000000"/>
        <w:sz w:val="16"/>
        <w:lang w:val="pt-PT"/>
      </w:rPr>
      <w:tab/>
      <w:t xml:space="preserve">© </w:t>
    </w:r>
    <w:r w:rsidR="006C3859" w:rsidRPr="0026146F">
      <w:rPr>
        <w:rFonts w:cs="Arial"/>
        <w:snapToGrid w:val="0"/>
        <w:color w:val="000000"/>
        <w:sz w:val="16"/>
        <w:lang w:val="pt-PT"/>
      </w:rPr>
      <w:t>202</w:t>
    </w:r>
    <w:r w:rsidR="006C3859">
      <w:rPr>
        <w:rFonts w:cs="Arial"/>
        <w:snapToGrid w:val="0"/>
        <w:color w:val="000000"/>
        <w:sz w:val="16"/>
        <w:lang w:val="pt-PT"/>
      </w:rPr>
      <w:t>5</w:t>
    </w:r>
    <w:r w:rsidR="006C3859" w:rsidRPr="0026146F">
      <w:rPr>
        <w:rFonts w:cs="Arial"/>
        <w:snapToGrid w:val="0"/>
        <w:color w:val="000000"/>
        <w:sz w:val="16"/>
        <w:lang w:val="pt-PT"/>
      </w:rPr>
      <w:t xml:space="preserve"> </w:t>
    </w:r>
    <w:r w:rsidRPr="0026146F">
      <w:rPr>
        <w:rFonts w:cs="Arial"/>
        <w:snapToGrid w:val="0"/>
        <w:color w:val="000000"/>
        <w:sz w:val="16"/>
        <w:lang w:val="pt-PT"/>
      </w:rPr>
      <w:t xml:space="preserve">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2CB30A2F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D368B0A" w:rsidR="00F75C81" w:rsidRPr="00AA1E6A" w:rsidRDefault="00C36B72" w:rsidP="004E1616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885AD8B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A59FA">
      <w:rPr>
        <w:rFonts w:cs="Arial"/>
        <w:noProof/>
        <w:snapToGrid w:val="0"/>
        <w:color w:val="000000"/>
        <w:sz w:val="16"/>
        <w:szCs w:val="16"/>
        <w:lang w:val="pt-P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F5170" w:rsidRPr="006F5170">
      <w:rPr>
        <w:rFonts w:cs="Arial"/>
        <w:noProof/>
        <w:sz w:val="16"/>
        <w:szCs w:val="16"/>
        <w:lang w:val="pt-PT"/>
      </w:rPr>
      <w:t>Ojjaara</w:t>
    </w:r>
    <w:r w:rsidR="006F5170">
      <w:rPr>
        <w:rFonts w:cs="Arial"/>
        <w:noProof/>
        <w:snapToGrid w:val="0"/>
        <w:color w:val="000000"/>
        <w:sz w:val="16"/>
        <w:szCs w:val="16"/>
        <w:lang w:val="pt-PT"/>
      </w:rPr>
      <w:t xml:space="preserve"> SGM 6174-A</w:t>
    </w:r>
    <w:r w:rsidR="006F5170" w:rsidRPr="006F5170">
      <w:rPr>
        <w:rFonts w:cs="Arial"/>
        <w:noProof/>
        <w:sz w:val="16"/>
        <w:szCs w:val="16"/>
        <w:lang w:val="pt-P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A59FA">
      <w:rPr>
        <w:rFonts w:cs="Arial"/>
        <w:snapToGrid w:val="0"/>
        <w:color w:val="000000"/>
        <w:sz w:val="16"/>
        <w:lang w:val="pt-PT"/>
      </w:rPr>
      <w:tab/>
      <w:t xml:space="preserve">© </w:t>
    </w:r>
    <w:r w:rsidR="006C3859" w:rsidRPr="00EA59FA">
      <w:rPr>
        <w:rFonts w:cs="Arial"/>
        <w:snapToGrid w:val="0"/>
        <w:color w:val="000000"/>
        <w:sz w:val="16"/>
        <w:lang w:val="pt-PT"/>
      </w:rPr>
      <w:t>202</w:t>
    </w:r>
    <w:r w:rsidR="006C3859">
      <w:rPr>
        <w:rFonts w:cs="Arial"/>
        <w:snapToGrid w:val="0"/>
        <w:color w:val="000000"/>
        <w:sz w:val="16"/>
        <w:lang w:val="pt-PT"/>
      </w:rPr>
      <w:t>5</w:t>
    </w:r>
    <w:r w:rsidR="006C3859" w:rsidRPr="00EA59FA">
      <w:rPr>
        <w:rFonts w:cs="Arial"/>
        <w:snapToGrid w:val="0"/>
        <w:color w:val="000000"/>
        <w:sz w:val="16"/>
        <w:lang w:val="pt-PT"/>
      </w:rPr>
      <w:t xml:space="preserve"> </w:t>
    </w:r>
    <w:r w:rsidRPr="00EA59FA">
      <w:rPr>
        <w:rFonts w:cs="Arial"/>
        <w:snapToGrid w:val="0"/>
        <w:color w:val="000000"/>
        <w:sz w:val="16"/>
        <w:lang w:val="pt-PT"/>
      </w:rPr>
      <w:t xml:space="preserve">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2D20B2DA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6757614" w:rsidR="00ED04EC" w:rsidRPr="00F50D98" w:rsidRDefault="00F50D98" w:rsidP="004E1616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3FF89" w14:textId="77777777" w:rsidR="003143A2" w:rsidRDefault="003143A2">
      <w:r>
        <w:separator/>
      </w:r>
    </w:p>
  </w:footnote>
  <w:footnote w:type="continuationSeparator" w:id="0">
    <w:p w14:paraId="60979F4E" w14:textId="77777777" w:rsidR="003143A2" w:rsidRDefault="003143A2">
      <w:r>
        <w:continuationSeparator/>
      </w:r>
    </w:p>
  </w:footnote>
  <w:footnote w:type="continuationNotice" w:id="1">
    <w:p w14:paraId="0485F3DF" w14:textId="77777777" w:rsidR="003143A2" w:rsidRDefault="003143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23982CF" w:rsidR="00ED04EC" w:rsidRPr="006D5C39" w:rsidRDefault="00A83025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6174-A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1F92040D" w:rsidR="000F5383" w:rsidRPr="00FF66BF" w:rsidRDefault="00EA59FA" w:rsidP="009E1F57">
          <w:pPr>
            <w:pStyle w:val="RefTableHeader"/>
          </w:pPr>
          <w:r>
            <w:t>6174-A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592221"/>
    <w:multiLevelType w:val="hybridMultilevel"/>
    <w:tmpl w:val="FB2C6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F926A6"/>
    <w:multiLevelType w:val="hybridMultilevel"/>
    <w:tmpl w:val="DCB0D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4F49B1"/>
    <w:multiLevelType w:val="hybridMultilevel"/>
    <w:tmpl w:val="90CE9496"/>
    <w:lvl w:ilvl="0" w:tplc="5E2297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0626E"/>
    <w:multiLevelType w:val="hybridMultilevel"/>
    <w:tmpl w:val="35B4B454"/>
    <w:lvl w:ilvl="0" w:tplc="45C2A7A0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5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0"/>
  </w:num>
  <w:num w:numId="16" w16cid:durableId="898320195">
    <w:abstractNumId w:val="19"/>
  </w:num>
  <w:num w:numId="17" w16cid:durableId="2128498676">
    <w:abstractNumId w:val="27"/>
  </w:num>
  <w:num w:numId="18" w16cid:durableId="299724409">
    <w:abstractNumId w:val="22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28"/>
  </w:num>
  <w:num w:numId="22" w16cid:durableId="1472481103">
    <w:abstractNumId w:val="24"/>
  </w:num>
  <w:num w:numId="23" w16cid:durableId="1997420403">
    <w:abstractNumId w:val="26"/>
  </w:num>
  <w:num w:numId="24" w16cid:durableId="33312838">
    <w:abstractNumId w:val="23"/>
  </w:num>
  <w:num w:numId="25" w16cid:durableId="507404939">
    <w:abstractNumId w:val="18"/>
  </w:num>
  <w:num w:numId="26" w16cid:durableId="1940915863">
    <w:abstractNumId w:val="11"/>
  </w:num>
  <w:num w:numId="27" w16cid:durableId="524632069">
    <w:abstractNumId w:val="14"/>
  </w:num>
  <w:num w:numId="28" w16cid:durableId="1433435114">
    <w:abstractNumId w:val="12"/>
  </w:num>
  <w:num w:numId="29" w16cid:durableId="1741710393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2B59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41D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C0C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942"/>
    <w:rsid w:val="00155A51"/>
    <w:rsid w:val="001560C4"/>
    <w:rsid w:val="00156A50"/>
    <w:rsid w:val="00156B77"/>
    <w:rsid w:val="00156E31"/>
    <w:rsid w:val="00160472"/>
    <w:rsid w:val="00162764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6C15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6438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46F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AF993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09C0"/>
    <w:rsid w:val="003116A8"/>
    <w:rsid w:val="003127DD"/>
    <w:rsid w:val="00312E1C"/>
    <w:rsid w:val="00313EB3"/>
    <w:rsid w:val="00313FC5"/>
    <w:rsid w:val="003143A2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31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076B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533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1F22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16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110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97F79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4B6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6816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3859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536C"/>
    <w:rsid w:val="006D5C39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895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170"/>
    <w:rsid w:val="006F53D8"/>
    <w:rsid w:val="006F5803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57B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04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4C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106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6C48"/>
    <w:rsid w:val="008409AE"/>
    <w:rsid w:val="00840EA7"/>
    <w:rsid w:val="008428E1"/>
    <w:rsid w:val="00842F87"/>
    <w:rsid w:val="0084308D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925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EE8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3D73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73C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6E79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4754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57310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025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4A91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302E"/>
    <w:rsid w:val="00BA5E53"/>
    <w:rsid w:val="00BA619E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1B22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E4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979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5461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0DB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1A8"/>
    <w:rsid w:val="00EA4698"/>
    <w:rsid w:val="00EA4ABA"/>
    <w:rsid w:val="00EA5754"/>
    <w:rsid w:val="00EA59FA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1301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53F2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089E"/>
    <w:rsid w:val="00FF2F94"/>
    <w:rsid w:val="00FF35C5"/>
    <w:rsid w:val="00FF37B2"/>
    <w:rsid w:val="00FF530E"/>
    <w:rsid w:val="00FF5C3C"/>
    <w:rsid w:val="00FF66BF"/>
    <w:rsid w:val="00FF7695"/>
    <w:rsid w:val="16D3F322"/>
    <w:rsid w:val="29729D5D"/>
    <w:rsid w:val="2AB09DBA"/>
    <w:rsid w:val="56E17C63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8E6D5D-D5F3-4A68-81D7-F2CC2FD9C967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1998</Characters>
  <Application>Microsoft Office Word</Application>
  <DocSecurity>0</DocSecurity>
  <Lines>49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Ojjaara 6174-A SGM 2024</vt:lpstr>
    </vt:vector>
  </TitlesOfParts>
  <Company>PCS Health Systems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Ojjaara SGM 6174-A</dc:title>
  <dc:subject/>
  <dc:creator>CVS Caremark</dc:creator>
  <cp:keywords/>
  <cp:lastModifiedBy>Huerta, Linda M</cp:lastModifiedBy>
  <cp:revision>3</cp:revision>
  <cp:lastPrinted>2024-04-09T10:27:00Z</cp:lastPrinted>
  <dcterms:created xsi:type="dcterms:W3CDTF">2025-05-06T18:35:00Z</dcterms:created>
  <dcterms:modified xsi:type="dcterms:W3CDTF">2025-05-06T18:36:00Z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939800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